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4B" w:rsidRDefault="00993B4B" w:rsidP="00993B4B">
      <w:pPr>
        <w:shd w:val="clear" w:color="auto" w:fill="FFFFFF"/>
        <w:spacing w:line="0" w:lineRule="atLeast"/>
        <w:ind w:firstLine="480"/>
        <w:jc w:val="right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>Appendix</w:t>
      </w:r>
    </w:p>
    <w:p w:rsidR="00993B4B" w:rsidRDefault="00993B4B" w:rsidP="00993B4B">
      <w:pPr>
        <w:shd w:val="clear" w:color="auto" w:fill="FFFFFF"/>
        <w:spacing w:line="0" w:lineRule="atLeast"/>
        <w:ind w:firstLine="480"/>
        <w:jc w:val="both"/>
        <w:rPr>
          <w:rFonts w:ascii="Arial" w:eastAsia="新細明體" w:hAnsi="Arial" w:cs="Arial"/>
        </w:rPr>
      </w:pPr>
    </w:p>
    <w:p w:rsidR="00993B4B" w:rsidRPr="00F03BF9" w:rsidRDefault="00993B4B" w:rsidP="00993B4B">
      <w:pPr>
        <w:shd w:val="clear" w:color="auto" w:fill="FFFFFF"/>
        <w:spacing w:line="0" w:lineRule="atLeast"/>
        <w:ind w:firstLine="480"/>
        <w:jc w:val="center"/>
        <w:rPr>
          <w:rFonts w:ascii="Arial" w:eastAsia="新細明體" w:hAnsi="Arial" w:cs="Arial"/>
          <w:b/>
          <w:sz w:val="28"/>
          <w:szCs w:val="28"/>
        </w:rPr>
      </w:pPr>
      <w:r w:rsidRPr="00F03BF9">
        <w:rPr>
          <w:rFonts w:ascii="Arial" w:eastAsia="新細明體" w:hAnsi="Arial" w:cs="Arial"/>
          <w:b/>
          <w:sz w:val="28"/>
          <w:szCs w:val="28"/>
        </w:rPr>
        <w:t>Li Ka Shing Foundation Scholarship</w:t>
      </w:r>
    </w:p>
    <w:p w:rsidR="00993B4B" w:rsidRDefault="00993B4B" w:rsidP="00993B4B">
      <w:pPr>
        <w:shd w:val="clear" w:color="auto" w:fill="FFFFFF"/>
        <w:spacing w:line="0" w:lineRule="atLeast"/>
        <w:ind w:firstLine="480"/>
        <w:jc w:val="both"/>
        <w:rPr>
          <w:rFonts w:ascii="新細明體" w:eastAsia="新細明體" w:hAnsi="新細明體" w:cs="新細明體"/>
          <w:lang w:eastAsia="zh-TW"/>
        </w:rPr>
      </w:pPr>
    </w:p>
    <w:tbl>
      <w:tblPr>
        <w:tblW w:w="100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379"/>
      </w:tblGrid>
      <w:tr w:rsidR="00993B4B" w:rsidTr="00993B4B">
        <w:trPr>
          <w:tblHeader/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Arial" w:eastAsia="新細明體" w:hAnsi="Arial" w:cs="Arial"/>
                <w:b/>
                <w:bCs/>
              </w:rPr>
              <w:t>Scholarship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jc w:val="center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  <w:b/>
                <w:bCs/>
              </w:rPr>
              <w:t>Details</w:t>
            </w:r>
          </w:p>
        </w:tc>
      </w:tr>
      <w:tr w:rsidR="00993B4B" w:rsidTr="00993B4B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>Entrance Scholarship for Students with Outstanding Achievements in Sports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 xml:space="preserve">These scholarships give due recognition to talented local undergraduate students who demonstrate outstanding achievements in sports, music or the visual arts. Depending on the specific duration of studies, each recipient </w:t>
            </w:r>
            <w:proofErr w:type="gramStart"/>
            <w:r>
              <w:rPr>
                <w:rFonts w:ascii="Arial" w:eastAsia="新細明體" w:hAnsi="Arial" w:cs="Arial"/>
              </w:rPr>
              <w:t>can be granted</w:t>
            </w:r>
            <w:proofErr w:type="gramEnd"/>
            <w:r>
              <w:rPr>
                <w:rFonts w:ascii="Arial" w:eastAsia="新細明體" w:hAnsi="Arial" w:cs="Arial"/>
              </w:rPr>
              <w:t xml:space="preserve"> the scholarship award for up to five years, at HK$50,000 per year (the maximum amount of the scholarship award is HK$250,000).</w:t>
            </w:r>
          </w:p>
        </w:tc>
      </w:tr>
      <w:tr w:rsidR="00993B4B" w:rsidTr="00993B4B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>Entrance Scholarship for Students with Outstanding Achievements in Music</w:t>
            </w:r>
          </w:p>
        </w:tc>
        <w:tc>
          <w:tcPr>
            <w:tcW w:w="63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B4B" w:rsidRDefault="00993B4B" w:rsidP="00F03BF9">
            <w:pPr>
              <w:rPr>
                <w:rFonts w:ascii="Arial" w:eastAsia="新細明體" w:hAnsi="Arial" w:cs="Arial"/>
              </w:rPr>
            </w:pPr>
          </w:p>
        </w:tc>
      </w:tr>
      <w:tr w:rsidR="00993B4B" w:rsidTr="00993B4B">
        <w:trPr>
          <w:trHeight w:val="81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>Entrance Scholarship for Students with Outstanding Achievements in the Visual Arts</w:t>
            </w:r>
          </w:p>
        </w:tc>
        <w:tc>
          <w:tcPr>
            <w:tcW w:w="63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B4B" w:rsidRDefault="00993B4B" w:rsidP="00F03BF9">
            <w:pPr>
              <w:rPr>
                <w:rFonts w:ascii="Arial" w:eastAsia="新細明體" w:hAnsi="Arial" w:cs="Arial"/>
              </w:rPr>
            </w:pPr>
          </w:p>
        </w:tc>
      </w:tr>
      <w:tr w:rsidR="00993B4B" w:rsidTr="00993B4B">
        <w:trPr>
          <w:trHeight w:val="966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>Entrance Scholarship for Graduates from Mainland Universities to Pursue Taught Master’s Programmes at EdUHK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>This covers the tuition fees and living expenses of Mainland students pursuing a full-time Taught Master’s Programme at EdUHK. The amount of the scholarship award is HK$250,000.</w:t>
            </w:r>
          </w:p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</w:p>
        </w:tc>
        <w:bookmarkStart w:id="0" w:name="_GoBack"/>
        <w:bookmarkEnd w:id="0"/>
      </w:tr>
      <w:tr w:rsidR="00993B4B" w:rsidTr="00993B4B">
        <w:trPr>
          <w:trHeight w:val="404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>Entrance Scholarship for International Students to Pursue Undergraduate Studies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 xml:space="preserve">This provides financial support for international students pursuing full-time undergraduate studies at EdUHK. Depending on the specific duration of studies, each recipient </w:t>
            </w:r>
            <w:proofErr w:type="gramStart"/>
            <w:r>
              <w:rPr>
                <w:rFonts w:ascii="Arial" w:eastAsia="新細明體" w:hAnsi="Arial" w:cs="Arial"/>
              </w:rPr>
              <w:t>can be granted</w:t>
            </w:r>
            <w:proofErr w:type="gramEnd"/>
            <w:r>
              <w:rPr>
                <w:rFonts w:ascii="Arial" w:eastAsia="新細明體" w:hAnsi="Arial" w:cs="Arial"/>
              </w:rPr>
              <w:t xml:space="preserve"> the scholarship award for up to five years, at HK$60,000 per year (the maximum amount of the scholarship award is HK$300,000).</w:t>
            </w:r>
          </w:p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</w:p>
        </w:tc>
      </w:tr>
      <w:tr w:rsidR="00993B4B" w:rsidTr="00993B4B">
        <w:trPr>
          <w:trHeight w:val="669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>Scholarship for Field Experience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/>
              </w:rPr>
              <w:t xml:space="preserve">This gives due recognition, in the form of a HK$10,000 scholarship, to Year 5 students studying Bachelor of Education programmes with outstanding field experience performance. </w:t>
            </w:r>
          </w:p>
          <w:p w:rsidR="00993B4B" w:rsidRDefault="00993B4B" w:rsidP="00F03BF9">
            <w:pPr>
              <w:spacing w:line="0" w:lineRule="atLeast"/>
              <w:jc w:val="both"/>
              <w:rPr>
                <w:rFonts w:ascii="Arial" w:eastAsia="新細明體" w:hAnsi="Arial" w:cs="Arial"/>
              </w:rPr>
            </w:pPr>
          </w:p>
        </w:tc>
      </w:tr>
    </w:tbl>
    <w:p w:rsidR="00496B0B" w:rsidRDefault="00993B4B" w:rsidP="00993B4B">
      <w:pPr>
        <w:jc w:val="center"/>
      </w:pPr>
    </w:p>
    <w:sectPr w:rsidR="00496B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B"/>
    <w:rsid w:val="00920995"/>
    <w:rsid w:val="00993B4B"/>
    <w:rsid w:val="00E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D0110-FBEF-4BCF-9AF8-E765C947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4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The Education University of Hong Kong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Kwok Chu Vincent [CO]</dc:creator>
  <cp:keywords/>
  <dc:description/>
  <cp:lastModifiedBy>PANG, Kwok Chu Vincent [CO]</cp:lastModifiedBy>
  <cp:revision>1</cp:revision>
  <dcterms:created xsi:type="dcterms:W3CDTF">2018-02-27T03:11:00Z</dcterms:created>
  <dcterms:modified xsi:type="dcterms:W3CDTF">2018-02-27T03:12:00Z</dcterms:modified>
</cp:coreProperties>
</file>